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BC" w:rsidRPr="008D37BC" w:rsidRDefault="008D37BC" w:rsidP="008D37BC">
      <w:pPr>
        <w:shd w:val="clear" w:color="auto" w:fill="FFFFFF"/>
        <w:spacing w:line="255" w:lineRule="atLeast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3"/>
          <w:szCs w:val="23"/>
          <w:lang w:eastAsia="sk-SK"/>
        </w:rPr>
      </w:pP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t xml:space="preserve">Ex-post CBA </w:t>
      </w:r>
      <w:bookmarkStart w:id="0" w:name="_Hlk14712267"/>
      <w:r w:rsidR="00DB3FDD">
        <w:rPr>
          <w:rFonts w:ascii="Arial" w:eastAsia="Times New Roman" w:hAnsi="Arial" w:cs="Arial"/>
          <w:b/>
          <w:bCs/>
          <w:color w:val="0B4DA1"/>
          <w:lang w:eastAsia="sk-SK"/>
        </w:rPr>
        <w:t>D3 Hričovské Podhradie – Žilina, Strážov</w:t>
      </w:r>
      <w:bookmarkEnd w:id="0"/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br/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Zmluva o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poskytnutí nenávratného finančného príspevku (NFP) pre projekt výstavby </w:t>
      </w:r>
      <w:r w:rsidR="00DB3FDD">
        <w:rPr>
          <w:rFonts w:ascii="Arial" w:eastAsia="Times New Roman" w:hAnsi="Arial" w:cs="Arial"/>
          <w:color w:val="525252"/>
          <w:lang w:eastAsia="sk-SK"/>
        </w:rPr>
        <w:t>diaľnice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„</w:t>
      </w:r>
      <w:r w:rsidR="00DB3FDD" w:rsidRPr="00DB3FDD">
        <w:rPr>
          <w:rFonts w:ascii="Arial" w:eastAsia="Times New Roman" w:hAnsi="Arial" w:cs="Arial"/>
          <w:color w:val="525252"/>
          <w:lang w:eastAsia="sk-SK"/>
        </w:rPr>
        <w:t>D3 Hričovské Podhradie – Žilina, Strážov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“ bola uzatvorená dňa </w:t>
      </w:r>
      <w:r w:rsidR="00DB3FDD">
        <w:rPr>
          <w:rFonts w:ascii="Arial" w:eastAsia="Times New Roman" w:hAnsi="Arial" w:cs="Arial"/>
          <w:color w:val="525252"/>
          <w:lang w:eastAsia="sk-SK"/>
        </w:rPr>
        <w:t>09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  <w:r w:rsidR="00DB3FDD">
        <w:rPr>
          <w:rFonts w:ascii="Arial" w:eastAsia="Times New Roman" w:hAnsi="Arial" w:cs="Arial"/>
          <w:color w:val="525252"/>
          <w:lang w:eastAsia="sk-SK"/>
        </w:rPr>
        <w:t>11</w:t>
      </w:r>
      <w:r w:rsidRPr="000026EF">
        <w:rPr>
          <w:rFonts w:ascii="Arial" w:eastAsia="Times New Roman" w:hAnsi="Arial" w:cs="Arial"/>
          <w:color w:val="525252"/>
          <w:lang w:eastAsia="sk-SK"/>
        </w:rPr>
        <w:t>.20</w:t>
      </w:r>
      <w:r w:rsidR="00A351D1">
        <w:rPr>
          <w:rFonts w:ascii="Arial" w:eastAsia="Times New Roman" w:hAnsi="Arial" w:cs="Arial"/>
          <w:color w:val="525252"/>
          <w:lang w:eastAsia="sk-SK"/>
        </w:rPr>
        <w:t>09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DB3FDD">
        <w:rPr>
          <w:rFonts w:ascii="Arial" w:eastAsia="Times New Roman" w:hAnsi="Arial" w:cs="Arial"/>
          <w:color w:val="525252"/>
          <w:lang w:eastAsia="sk-SK"/>
        </w:rPr>
        <w:t>Druhý</w:t>
      </w:r>
      <w:r w:rsidR="00A351D1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Dodatok k Zmluve o poskytnutí NFP </w:t>
      </w:r>
      <w:r w:rsidR="00DB3FDD">
        <w:rPr>
          <w:rFonts w:ascii="Arial" w:eastAsia="Times New Roman" w:hAnsi="Arial" w:cs="Arial"/>
          <w:color w:val="525252"/>
          <w:lang w:eastAsia="sk-SK"/>
        </w:rPr>
        <w:t xml:space="preserve">(zmena finančných ukazovateľov) 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bol uzatvorený dňa </w:t>
      </w:r>
      <w:r w:rsidR="00DB3FDD">
        <w:rPr>
          <w:rFonts w:ascii="Arial" w:eastAsia="Times New Roman" w:hAnsi="Arial" w:cs="Arial"/>
          <w:color w:val="525252"/>
          <w:lang w:eastAsia="sk-SK"/>
        </w:rPr>
        <w:t>07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.</w:t>
      </w:r>
      <w:r w:rsidR="00DB3FDD">
        <w:rPr>
          <w:rFonts w:ascii="Arial" w:eastAsia="Times New Roman" w:hAnsi="Arial" w:cs="Arial"/>
          <w:color w:val="525252"/>
          <w:lang w:eastAsia="sk-SK"/>
        </w:rPr>
        <w:t>11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>. 20</w:t>
      </w:r>
      <w:r w:rsidR="00752019">
        <w:rPr>
          <w:rFonts w:ascii="Arial" w:eastAsia="Times New Roman" w:hAnsi="Arial" w:cs="Arial"/>
          <w:color w:val="525252"/>
          <w:lang w:eastAsia="sk-SK"/>
        </w:rPr>
        <w:t>11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Išlo o finančný príspevok na výstavbu </w:t>
      </w:r>
      <w:bookmarkStart w:id="1" w:name="_Hlk14694838"/>
      <w:r w:rsidR="00B90F54">
        <w:rPr>
          <w:rFonts w:ascii="Arial" w:eastAsia="Times New Roman" w:hAnsi="Arial" w:cs="Arial"/>
          <w:color w:val="525252"/>
          <w:lang w:eastAsia="sk-SK"/>
        </w:rPr>
        <w:t>8</w:t>
      </w:r>
      <w:r w:rsidRPr="000026EF">
        <w:rPr>
          <w:rFonts w:ascii="Arial" w:eastAsia="Times New Roman" w:hAnsi="Arial" w:cs="Arial"/>
          <w:color w:val="525252"/>
          <w:lang w:eastAsia="sk-SK"/>
        </w:rPr>
        <w:t>,</w:t>
      </w:r>
      <w:r w:rsidR="00DB3FDD">
        <w:rPr>
          <w:rFonts w:ascii="Arial" w:eastAsia="Times New Roman" w:hAnsi="Arial" w:cs="Arial"/>
          <w:color w:val="525252"/>
          <w:lang w:eastAsia="sk-SK"/>
        </w:rPr>
        <w:t>4</w:t>
      </w:r>
      <w:r w:rsidR="00B90F54">
        <w:rPr>
          <w:rFonts w:ascii="Arial" w:eastAsia="Times New Roman" w:hAnsi="Arial" w:cs="Arial"/>
          <w:color w:val="525252"/>
          <w:lang w:eastAsia="sk-SK"/>
        </w:rPr>
        <w:t>5</w:t>
      </w:r>
      <w:bookmarkEnd w:id="1"/>
      <w:r w:rsidRPr="000026EF">
        <w:rPr>
          <w:rFonts w:ascii="Arial" w:eastAsia="Times New Roman" w:hAnsi="Arial" w:cs="Arial"/>
          <w:color w:val="525252"/>
          <w:lang w:eastAsia="sk-SK"/>
        </w:rPr>
        <w:t xml:space="preserve"> km úseku </w:t>
      </w:r>
      <w:r w:rsidR="00DB3FDD">
        <w:rPr>
          <w:rFonts w:ascii="Arial" w:eastAsia="Times New Roman" w:hAnsi="Arial" w:cs="Arial"/>
          <w:color w:val="525252"/>
          <w:lang w:eastAsia="sk-SK"/>
        </w:rPr>
        <w:t>diaľnice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DB3FDD" w:rsidRPr="00DB3FDD">
        <w:rPr>
          <w:rFonts w:ascii="Arial" w:eastAsia="Times New Roman" w:hAnsi="Arial" w:cs="Arial"/>
          <w:color w:val="525252"/>
          <w:lang w:eastAsia="sk-SK"/>
        </w:rPr>
        <w:t>D3 Hričovské Podhradie – Žilina, Strážov</w:t>
      </w:r>
      <w:r w:rsidRPr="000026EF">
        <w:rPr>
          <w:rFonts w:ascii="Arial" w:eastAsia="Times New Roman" w:hAnsi="Arial" w:cs="Arial"/>
          <w:color w:val="525252"/>
          <w:lang w:eastAsia="sk-SK"/>
        </w:rPr>
        <w:t>.  Prijímateľovi (Národná diaľničná spoločnosť, a. s.,) bol poskytnutý finančný príspevok vo výške </w:t>
      </w:r>
      <w:bookmarkStart w:id="2" w:name="_Hlk14694851"/>
      <w:r w:rsidR="00153604">
        <w:rPr>
          <w:rFonts w:ascii="Arial" w:eastAsia="Times New Roman" w:hAnsi="Arial" w:cs="Arial"/>
          <w:b/>
          <w:bCs/>
          <w:color w:val="525252"/>
          <w:lang w:eastAsia="sk-SK"/>
        </w:rPr>
        <w:t>87</w:t>
      </w:r>
      <w:r w:rsidR="00153604">
        <w:rPr>
          <w:rFonts w:ascii="Arial" w:eastAsia="Times New Roman" w:hAnsi="Arial" w:cs="Arial"/>
          <w:b/>
          <w:bCs/>
          <w:color w:val="525252"/>
          <w:lang w:val="en-GB" w:eastAsia="sk-SK"/>
        </w:rPr>
        <w:t> 843 165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2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0026EF">
        <w:rPr>
          <w:rFonts w:ascii="Arial" w:eastAsia="Times New Roman" w:hAnsi="Arial" w:cs="Arial"/>
          <w:color w:val="525252"/>
          <w:lang w:eastAsia="sk-SK"/>
        </w:rPr>
        <w:t>, ktorý sa skladal z príspevku z Európskeho fondu regionálneho rozvoja (85 % z celkovej sumy) vo výške </w:t>
      </w:r>
      <w:bookmarkStart w:id="3" w:name="_Hlk14694862"/>
      <w:r w:rsidR="00153604">
        <w:rPr>
          <w:rFonts w:ascii="Arial" w:eastAsia="Times New Roman" w:hAnsi="Arial" w:cs="Arial"/>
          <w:b/>
          <w:bCs/>
          <w:color w:val="525252"/>
          <w:lang w:eastAsia="sk-SK"/>
        </w:rPr>
        <w:t>79 383 869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3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 </w:t>
      </w:r>
      <w:r w:rsidRPr="000026EF">
        <w:rPr>
          <w:rFonts w:ascii="Arial" w:eastAsia="Times New Roman" w:hAnsi="Arial" w:cs="Arial"/>
          <w:color w:val="525252"/>
          <w:lang w:eastAsia="sk-SK"/>
        </w:rPr>
        <w:t>a z príspevku zo štátneho rozpočtu (15 % z celkovej sumy) vo výške </w:t>
      </w:r>
      <w:bookmarkStart w:id="4" w:name="_Hlk14694872"/>
      <w:r w:rsidR="00153604">
        <w:rPr>
          <w:rFonts w:ascii="Arial" w:eastAsia="Times New Roman" w:hAnsi="Arial" w:cs="Arial"/>
          <w:b/>
          <w:color w:val="525252"/>
          <w:lang w:eastAsia="sk-SK"/>
        </w:rPr>
        <w:t>8 459 296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4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0026EF">
        <w:rPr>
          <w:rFonts w:ascii="Arial" w:eastAsia="Times New Roman" w:hAnsi="Arial" w:cs="Arial"/>
          <w:color w:val="525252"/>
          <w:lang w:eastAsia="sk-SK"/>
        </w:rPr>
        <w:t>. Príspevok bol stanovený na základe výsledku finančnej analýzy v rámci analýzy nákladov a prínosov (CBA) projektu, keď finančná medzera predstavovala </w:t>
      </w:r>
      <w:bookmarkStart w:id="5" w:name="_Hlk14694887"/>
      <w:r w:rsidR="00B90F54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% </w:t>
      </w:r>
      <w:bookmarkEnd w:id="5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(t.</w:t>
      </w:r>
      <w:r w:rsidR="001302DD"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j. </w:t>
      </w:r>
      <w:r w:rsidR="00B90F54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% z celkových oprávnených výdavkov projektu bolo poskytnutých zo zdrojov Operačného programu Doprava 2007 – 2013)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153604">
        <w:rPr>
          <w:rFonts w:ascii="Arial" w:eastAsia="Times New Roman" w:hAnsi="Arial" w:cs="Arial"/>
          <w:color w:val="525252"/>
          <w:lang w:eastAsia="sk-SK"/>
        </w:rPr>
        <w:t>Diaľnica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DB3FDD" w:rsidRPr="00DB3FDD">
        <w:rPr>
          <w:rFonts w:ascii="Arial" w:eastAsia="Times New Roman" w:hAnsi="Arial" w:cs="Arial"/>
          <w:color w:val="525252"/>
          <w:lang w:eastAsia="sk-SK"/>
        </w:rPr>
        <w:t>D3 Hričovské Podhradie – Žilina, Strážov</w:t>
      </w:r>
      <w:r w:rsidR="00A351D1"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je v užívaní 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kompletne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od </w:t>
      </w:r>
      <w:r w:rsidR="002A1EC0">
        <w:rPr>
          <w:rFonts w:ascii="Arial" w:eastAsia="Times New Roman" w:hAnsi="Arial" w:cs="Arial"/>
          <w:color w:val="525252"/>
          <w:lang w:eastAsia="sk-SK"/>
        </w:rPr>
        <w:t>j</w:t>
      </w:r>
      <w:r w:rsidR="00153604">
        <w:rPr>
          <w:rFonts w:ascii="Arial" w:eastAsia="Times New Roman" w:hAnsi="Arial" w:cs="Arial"/>
          <w:color w:val="525252"/>
          <w:lang w:eastAsia="sk-SK"/>
        </w:rPr>
        <w:t>úna 2008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MDV SR ako Riadiaci orgán pristúpilo k ex-post prevereniu CBA z dôvodu zvýšenia kvality tvorby nasledujúcich predkladaných CBA cestných projektov, z dôvodu spresnenia dopravného modelovania nasledujúcich projektov ako aj užitočných podkladov ohľadom aktualizácie Metodickej príručky CBA.     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Táto aktivita prispeje k zvýšeniu efektívnosti čerpania finančných prostriedkov z verejných zdrojov a z fondov Európskej únie.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Pri spätnom vyhodnotení CBA boli za roky 20</w:t>
      </w:r>
      <w:r w:rsidR="002A1EC0">
        <w:rPr>
          <w:rFonts w:ascii="Arial" w:eastAsia="Times New Roman" w:hAnsi="Arial" w:cs="Arial"/>
          <w:color w:val="525252"/>
          <w:lang w:eastAsia="sk-SK"/>
        </w:rPr>
        <w:t>0</w:t>
      </w:r>
      <w:r w:rsidR="00153604">
        <w:rPr>
          <w:rFonts w:ascii="Arial" w:eastAsia="Times New Roman" w:hAnsi="Arial" w:cs="Arial"/>
          <w:color w:val="525252"/>
          <w:lang w:eastAsia="sk-SK"/>
        </w:rPr>
        <w:t>5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– 2018 podľa skutočného stavu aktualizované nasledovné vstupné údaje: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HDP – zdroj: Štatistický úrad SR, Ministerstvo financií SR, Metodická príručka CBA OPII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Inflácia – zdroj :  Štatistický úrad SR</w:t>
      </w:r>
    </w:p>
    <w:p w:rsidR="008D37BC" w:rsidRPr="008D37BC" w:rsidRDefault="00E7441D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i/>
          <w:iCs/>
          <w:color w:val="525252"/>
          <w:lang w:eastAsia="sk-SK"/>
        </w:rPr>
        <w:t>C</w:t>
      </w:r>
      <w:r w:rsidR="008D37BC"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eny </w:t>
      </w:r>
      <w:r>
        <w:rPr>
          <w:rFonts w:ascii="Arial" w:eastAsia="Times New Roman" w:hAnsi="Arial" w:cs="Arial"/>
          <w:i/>
          <w:iCs/>
          <w:color w:val="525252"/>
          <w:lang w:eastAsia="sk-SK"/>
        </w:rPr>
        <w:t xml:space="preserve">pohonných hmôt </w:t>
      </w:r>
      <w:r w:rsidR="008D37BC" w:rsidRPr="008D37BC">
        <w:rPr>
          <w:rFonts w:ascii="Arial" w:eastAsia="Times New Roman" w:hAnsi="Arial" w:cs="Arial"/>
          <w:i/>
          <w:iCs/>
          <w:color w:val="525252"/>
          <w:lang w:eastAsia="sk-SK"/>
        </w:rPr>
        <w:t>– zdroj :  Štatistický úrad SR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Investičné náklady – zdroj : účtovníctvo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Intenzita dopravy – zdroj : celoštátne sčítanie dopravy SSC </w:t>
      </w:r>
      <w:r w:rsidR="002A1EC0">
        <w:rPr>
          <w:rFonts w:ascii="Arial" w:eastAsia="Times New Roman" w:hAnsi="Arial" w:cs="Arial"/>
          <w:i/>
          <w:iCs/>
          <w:color w:val="525252"/>
          <w:lang w:eastAsia="sk-SK"/>
        </w:rPr>
        <w:t xml:space="preserve">2005, 2010 a </w:t>
      </w: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2015, automatické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sčítače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 dopravy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 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Prevádzkové náklady – zdroj : účtovníctvo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Príjmy – zdroj : účtovníctvo, NDS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Nehodovosť – zdroj : Policajný zbor SR</w:t>
      </w:r>
    </w:p>
    <w:p w:rsidR="002A1EC0" w:rsidRDefault="002A1EC0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Následne bola prepočítaná CBA celého projektu spolu s predikciou vývoja do roku 20</w:t>
      </w:r>
      <w:r w:rsidR="002A1EC0">
        <w:rPr>
          <w:rFonts w:ascii="Arial" w:eastAsia="Times New Roman" w:hAnsi="Arial" w:cs="Arial"/>
          <w:color w:val="525252"/>
          <w:lang w:eastAsia="sk-SK"/>
        </w:rPr>
        <w:t>3</w:t>
      </w:r>
      <w:r w:rsidR="00153604">
        <w:rPr>
          <w:rFonts w:ascii="Arial" w:eastAsia="Times New Roman" w:hAnsi="Arial" w:cs="Arial"/>
          <w:color w:val="525252"/>
          <w:lang w:eastAsia="sk-SK"/>
        </w:rPr>
        <w:t>4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a to aktuálne platnou metodikou pre Operačný program Integrovaná infrašt</w:t>
      </w:r>
      <w:r w:rsidR="000F0153" w:rsidRPr="000026EF">
        <w:rPr>
          <w:rFonts w:ascii="Arial" w:eastAsia="Times New Roman" w:hAnsi="Arial" w:cs="Arial"/>
          <w:color w:val="525252"/>
          <w:lang w:eastAsia="sk-SK"/>
        </w:rPr>
        <w:t>r</w:t>
      </w:r>
      <w:r w:rsidRPr="000026EF">
        <w:rPr>
          <w:rFonts w:ascii="Arial" w:eastAsia="Times New Roman" w:hAnsi="Arial" w:cs="Arial"/>
          <w:color w:val="525252"/>
          <w:lang w:eastAsia="sk-SK"/>
        </w:rPr>
        <w:t>uktúra (2014 – 2020). Pôvodná CBA bola počítaná metodikou predchádzajúceho Operačného programu Doprava (2007 – 2013).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 </w:t>
      </w: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Vyhodnotenie finančnej analýzy</w:t>
      </w:r>
    </w:p>
    <w:p w:rsidR="008D37BC" w:rsidRPr="008D37BC" w:rsidRDefault="008D37BC" w:rsidP="002A1EC0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Finančná medzera sa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 nezmenila, potvrdila sa jej výška </w:t>
      </w:r>
      <w:bookmarkStart w:id="6" w:name="_Hlk14695055"/>
      <w:r w:rsidR="002A1EC0">
        <w:rPr>
          <w:rFonts w:ascii="Arial" w:eastAsia="Times New Roman" w:hAnsi="Arial" w:cs="Arial"/>
          <w:b/>
          <w:bCs/>
          <w:color w:val="525252"/>
          <w:lang w:eastAsia="sk-SK"/>
        </w:rPr>
        <w:t>100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%</w:t>
      </w:r>
      <w:bookmarkEnd w:id="6"/>
      <w:r w:rsidRPr="008D37BC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tbl>
      <w:tblPr>
        <w:tblW w:w="9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073"/>
        <w:gridCol w:w="2857"/>
        <w:gridCol w:w="1020"/>
      </w:tblGrid>
      <w:tr w:rsidR="008D37BC" w:rsidRPr="008D37BC" w:rsidTr="00E7441D"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7" w:name="_Hlk14695119"/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Investičné náklady</w:t>
            </w:r>
          </w:p>
        </w:tc>
        <w:tc>
          <w:tcPr>
            <w:tcW w:w="3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15360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val="en-GB" w:eastAsia="sk-SK"/>
              </w:rPr>
              <w:t>183 636 924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15360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188 441 396 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2,6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7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Uvádzané investičné náklady sú nediskontované a bez DPH.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3158"/>
        <w:gridCol w:w="2866"/>
        <w:gridCol w:w="947"/>
      </w:tblGrid>
      <w:tr w:rsidR="008D37BC" w:rsidRPr="008D37BC" w:rsidTr="00E7441D"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8" w:name="_Hlk14695165"/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lastRenderedPageBreak/>
              <w:t>Zostatková hodnota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15360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17 691 769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15360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46 372 363</w:t>
            </w:r>
            <w:r w:rsidR="00CF2E79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61B2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162,1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8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V súlade s platným CBA manuálom bola aktualizovaná zostatková hodnota prepočítaná metódou „</w:t>
      </w:r>
      <w:r w:rsidR="00153604">
        <w:rPr>
          <w:rFonts w:ascii="Arial" w:eastAsia="Times New Roman" w:hAnsi="Arial" w:cs="Arial"/>
          <w:color w:val="525252"/>
          <w:lang w:eastAsia="sk-SK"/>
        </w:rPr>
        <w:t xml:space="preserve">cash </w:t>
      </w:r>
      <w:proofErr w:type="spellStart"/>
      <w:r w:rsidR="00153604">
        <w:rPr>
          <w:rFonts w:ascii="Arial" w:eastAsia="Times New Roman" w:hAnsi="Arial" w:cs="Arial"/>
          <w:color w:val="525252"/>
          <w:lang w:eastAsia="sk-SK"/>
        </w:rPr>
        <w:t>flow</w:t>
      </w:r>
      <w:proofErr w:type="spellEnd"/>
      <w:r w:rsidRPr="008D37BC">
        <w:rPr>
          <w:rFonts w:ascii="Arial" w:eastAsia="Times New Roman" w:hAnsi="Arial" w:cs="Arial"/>
          <w:color w:val="525252"/>
          <w:lang w:eastAsia="sk-SK"/>
        </w:rPr>
        <w:t>“</w:t>
      </w:r>
      <w:r w:rsidR="00153604">
        <w:rPr>
          <w:rFonts w:ascii="Arial" w:eastAsia="Times New Roman" w:hAnsi="Arial" w:cs="Arial"/>
          <w:color w:val="525252"/>
          <w:lang w:eastAsia="sk-SK"/>
        </w:rPr>
        <w:t>, nakoľko projekt generuje čistý príjem.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109"/>
        <w:gridCol w:w="2861"/>
        <w:gridCol w:w="963"/>
      </w:tblGrid>
      <w:tr w:rsidR="008D37BC" w:rsidRPr="008D37BC" w:rsidTr="00B62D48">
        <w:tc>
          <w:tcPr>
            <w:tcW w:w="2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E7441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9" w:name="_Hlk14695271"/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Diskontované p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ríjmy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4F6AAF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15360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25 125 784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15360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24 481 334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61B2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-2,56</w:t>
            </w:r>
            <w:r w:rsidR="008D37BC" w:rsidRPr="008D37BC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9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Inkrementálne príjmy z mýta sú priamo závislé na intenzitách </w:t>
      </w:r>
      <w:r w:rsidR="00D81761">
        <w:rPr>
          <w:rFonts w:ascii="Arial" w:eastAsia="Times New Roman" w:hAnsi="Arial" w:cs="Arial"/>
          <w:color w:val="525252"/>
          <w:lang w:eastAsia="sk-SK"/>
        </w:rPr>
        <w:t xml:space="preserve">nákladnej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dopravy. Intenzity </w:t>
      </w:r>
      <w:r w:rsidR="00D81761">
        <w:rPr>
          <w:rFonts w:ascii="Arial" w:eastAsia="Times New Roman" w:hAnsi="Arial" w:cs="Arial"/>
          <w:color w:val="525252"/>
          <w:lang w:eastAsia="sk-SK"/>
        </w:rPr>
        <w:t xml:space="preserve">nákladnej </w:t>
      </w:r>
      <w:r w:rsidRPr="008D37BC">
        <w:rPr>
          <w:rFonts w:ascii="Arial" w:eastAsia="Times New Roman" w:hAnsi="Arial" w:cs="Arial"/>
          <w:color w:val="525252"/>
          <w:lang w:eastAsia="sk-SK"/>
        </w:rPr>
        <w:t>dopravy na predmetnom úseku sú nižšie v porovnaní s predpokladanými intenzitami dopravy z pôvodnej CBA. Ďalší dôvod poklesu predpokladaných príjmov je metodika výpočtu; v aktualizovanej CBA podľa aktuálnej metodiky vstupujú do kalkulácie aj príjmy z mýta na paralelnej ceste I/</w:t>
      </w:r>
      <w:r w:rsidR="002A1EC0">
        <w:rPr>
          <w:rFonts w:ascii="Arial" w:eastAsia="Times New Roman" w:hAnsi="Arial" w:cs="Arial"/>
          <w:color w:val="525252"/>
          <w:lang w:eastAsia="sk-SK"/>
        </w:rPr>
        <w:t>6</w:t>
      </w:r>
      <w:r w:rsidR="00153604">
        <w:rPr>
          <w:rFonts w:ascii="Arial" w:eastAsia="Times New Roman" w:hAnsi="Arial" w:cs="Arial"/>
          <w:color w:val="525252"/>
          <w:lang w:eastAsia="sk-SK"/>
        </w:rPr>
        <w:t>1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752019">
        <w:rPr>
          <w:rFonts w:ascii="Arial" w:eastAsia="Times New Roman" w:hAnsi="Arial" w:cs="Arial"/>
          <w:color w:val="525252"/>
          <w:lang w:eastAsia="sk-SK"/>
        </w:rPr>
        <w:t xml:space="preserve">(pôvodná I/18)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v porovnaní s pôvodnou CBA, kde boli vyčíslené iba príjmy z mýta na novopostavenom úseku </w:t>
      </w:r>
      <w:r w:rsidR="00153604">
        <w:rPr>
          <w:rFonts w:ascii="Arial" w:eastAsia="Times New Roman" w:hAnsi="Arial" w:cs="Arial"/>
          <w:color w:val="525252"/>
          <w:lang w:eastAsia="sk-SK"/>
        </w:rPr>
        <w:t>D3</w:t>
      </w:r>
      <w:r w:rsidRPr="008D37BC">
        <w:rPr>
          <w:rFonts w:ascii="Arial" w:eastAsia="Times New Roman" w:hAnsi="Arial" w:cs="Arial"/>
          <w:color w:val="525252"/>
          <w:lang w:eastAsia="sk-SK"/>
        </w:rPr>
        <w:t>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3091"/>
        <w:gridCol w:w="2953"/>
        <w:gridCol w:w="978"/>
      </w:tblGrid>
      <w:tr w:rsidR="00073400" w:rsidRPr="008D37BC" w:rsidTr="004F6AAF">
        <w:tc>
          <w:tcPr>
            <w:tcW w:w="2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4F6AAF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bookmarkStart w:id="10" w:name="_Hlk14695949"/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Diskontované v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ýdavky</w:t>
            </w:r>
          </w:p>
        </w:tc>
        <w:tc>
          <w:tcPr>
            <w:tcW w:w="3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3400" w:rsidRDefault="00073400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color w:val="525252"/>
                <w:lang w:eastAsia="sk-SK"/>
              </w:rPr>
              <w:t>p</w:t>
            </w:r>
            <w:r w:rsidR="008D37BC" w:rsidRPr="008D37BC">
              <w:rPr>
                <w:rFonts w:ascii="Arial" w:eastAsia="Times New Roman" w:hAnsi="Arial" w:cs="Arial"/>
                <w:color w:val="525252"/>
                <w:lang w:eastAsia="sk-SK"/>
              </w:rPr>
              <w:t>ôvodné</w:t>
            </w:r>
          </w:p>
          <w:p w:rsidR="008D37BC" w:rsidRPr="008D37BC" w:rsidRDefault="0015360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12 421 376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2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153604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-2 408 573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61B2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-119,4</w:t>
            </w:r>
            <w:r w:rsidR="008D37BC" w:rsidRPr="00073400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bookmarkEnd w:id="10"/>
    <w:p w:rsidR="008D37BC" w:rsidRPr="008D37BC" w:rsidRDefault="008D37BC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Výrazná zmena sa týka výdavkov na prevádzku a údržbu, </w:t>
      </w:r>
      <w:r w:rsidR="000F0153">
        <w:rPr>
          <w:rFonts w:ascii="Arial" w:eastAsia="Times New Roman" w:hAnsi="Arial" w:cs="Arial"/>
          <w:color w:val="525252"/>
          <w:lang w:eastAsia="sk-SK"/>
        </w:rPr>
        <w:t xml:space="preserve">nakoľko sa </w:t>
      </w:r>
      <w:r w:rsidRPr="008D37BC">
        <w:rPr>
          <w:rFonts w:ascii="Arial" w:eastAsia="Times New Roman" w:hAnsi="Arial" w:cs="Arial"/>
          <w:color w:val="525252"/>
          <w:lang w:eastAsia="sk-SK"/>
        </w:rPr>
        <w:t>metodika výpočtu</w:t>
      </w:r>
      <w:r w:rsidR="000F0153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v aktuálne platnej verzii Metodickej príručky CBA zmenila, pričom výpočet odhadu budúcich výdavkov je presnejší. Bežné náklady na údržbu a periodické náklady na údržbu sú </w:t>
      </w:r>
      <w:r w:rsidR="001A29EA">
        <w:rPr>
          <w:rFonts w:ascii="Arial" w:eastAsia="Times New Roman" w:hAnsi="Arial" w:cs="Arial"/>
          <w:color w:val="525252"/>
          <w:lang w:eastAsia="sk-SK"/>
        </w:rPr>
        <w:t>nižšie</w:t>
      </w:r>
      <w:r w:rsidRPr="008D37BC">
        <w:rPr>
          <w:rFonts w:ascii="Arial" w:eastAsia="Times New Roman" w:hAnsi="Arial" w:cs="Arial"/>
          <w:color w:val="525252"/>
          <w:lang w:eastAsia="sk-SK"/>
        </w:rPr>
        <w:t>, čo je spôsobené  novou metodikou CBA: posudz</w:t>
      </w:r>
      <w:r w:rsidR="001A29EA">
        <w:rPr>
          <w:rFonts w:ascii="Arial" w:eastAsia="Times New Roman" w:hAnsi="Arial" w:cs="Arial"/>
          <w:color w:val="525252"/>
          <w:lang w:eastAsia="sk-SK"/>
        </w:rPr>
        <w:t>uje sa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plocha v m2 </w:t>
      </w:r>
      <w:r w:rsidR="001A29EA">
        <w:rPr>
          <w:rFonts w:ascii="Arial" w:eastAsia="Times New Roman" w:hAnsi="Arial" w:cs="Arial"/>
          <w:color w:val="525252"/>
          <w:lang w:eastAsia="sk-SK"/>
        </w:rPr>
        <w:t xml:space="preserve">aj pri </w:t>
      </w:r>
      <w:r w:rsidRPr="008D37BC">
        <w:rPr>
          <w:rFonts w:ascii="Arial" w:eastAsia="Times New Roman" w:hAnsi="Arial" w:cs="Arial"/>
          <w:color w:val="525252"/>
          <w:lang w:eastAsia="sk-SK"/>
        </w:rPr>
        <w:t>paralelnej ceste I. triedy I/</w:t>
      </w:r>
      <w:r w:rsidR="002A1EC0">
        <w:rPr>
          <w:rFonts w:ascii="Arial" w:eastAsia="Times New Roman" w:hAnsi="Arial" w:cs="Arial"/>
          <w:color w:val="525252"/>
          <w:lang w:eastAsia="sk-SK"/>
        </w:rPr>
        <w:t>6</w:t>
      </w:r>
      <w:r w:rsidR="00153604">
        <w:rPr>
          <w:rFonts w:ascii="Arial" w:eastAsia="Times New Roman" w:hAnsi="Arial" w:cs="Arial"/>
          <w:color w:val="525252"/>
          <w:lang w:eastAsia="sk-SK"/>
        </w:rPr>
        <w:t>1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  <w:r w:rsidR="001A29EA">
        <w:rPr>
          <w:rFonts w:ascii="Arial" w:eastAsia="Times New Roman" w:hAnsi="Arial" w:cs="Arial"/>
          <w:color w:val="525252"/>
          <w:lang w:eastAsia="sk-SK"/>
        </w:rPr>
        <w:t xml:space="preserve"> Z dôvodu zníženia intenzít na ceste I. triedy sa znížia prevádzkové náklady na danej ceste.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Pri nákladoch na správu mýta </w:t>
      </w:r>
      <w:r w:rsidR="001A29EA">
        <w:rPr>
          <w:rFonts w:ascii="Arial" w:eastAsia="Times New Roman" w:hAnsi="Arial" w:cs="Arial"/>
          <w:color w:val="525252"/>
          <w:lang w:eastAsia="sk-SK"/>
        </w:rPr>
        <w:t>tiež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dochádza k úspore nákladov a aj z tohto dôvodu prichádza k zníženiu celkových nákladov na prevádzku a údržbu infraštruktúry. </w:t>
      </w:r>
    </w:p>
    <w:p w:rsidR="004F6AAF" w:rsidRDefault="004F6AAF" w:rsidP="008D37B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DD56BB">
        <w:rPr>
          <w:rFonts w:ascii="Arial" w:eastAsia="Times New Roman" w:hAnsi="Arial" w:cs="Arial"/>
          <w:b/>
          <w:bCs/>
          <w:color w:val="525252"/>
          <w:lang w:eastAsia="sk-SK"/>
        </w:rPr>
        <w:t>Vyhodnotenie ekonomickej analýzy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Pomer nákladov a </w:t>
      </w:r>
      <w:bookmarkStart w:id="11" w:name="_GoBack"/>
      <w:bookmarkEnd w:id="11"/>
      <w:r w:rsidR="00CD002B">
        <w:rPr>
          <w:rFonts w:ascii="Arial" w:eastAsia="Times New Roman" w:hAnsi="Arial" w:cs="Arial"/>
          <w:color w:val="525252"/>
          <w:lang w:eastAsia="sk-SK"/>
        </w:rPr>
        <w:t>prínos</w:t>
      </w:r>
      <w:r w:rsidRPr="008D37BC">
        <w:rPr>
          <w:rFonts w:ascii="Arial" w:eastAsia="Times New Roman" w:hAnsi="Arial" w:cs="Arial"/>
          <w:color w:val="525252"/>
          <w:lang w:eastAsia="sk-SK"/>
        </w:rPr>
        <w:t>ov (B/C) sa znížil z</w:t>
      </w:r>
      <w:r w:rsidR="002A1EC0">
        <w:rPr>
          <w:rFonts w:ascii="Arial" w:eastAsia="Times New Roman" w:hAnsi="Arial" w:cs="Arial"/>
          <w:color w:val="525252"/>
          <w:lang w:eastAsia="sk-SK"/>
        </w:rPr>
        <w:t> </w:t>
      </w:r>
      <w:bookmarkStart w:id="12" w:name="_Hlk14696150"/>
      <w:r w:rsidR="00153604" w:rsidRPr="00153604">
        <w:rPr>
          <w:rFonts w:ascii="Arial" w:eastAsia="Times New Roman" w:hAnsi="Arial" w:cs="Arial"/>
          <w:b/>
          <w:color w:val="525252"/>
          <w:lang w:eastAsia="sk-SK"/>
        </w:rPr>
        <w:t>4</w:t>
      </w:r>
      <w:r w:rsidR="002A1EC0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r w:rsidR="00153604">
        <w:rPr>
          <w:rFonts w:ascii="Arial" w:eastAsia="Times New Roman" w:hAnsi="Arial" w:cs="Arial"/>
          <w:b/>
          <w:bCs/>
          <w:color w:val="525252"/>
          <w:lang w:eastAsia="sk-SK"/>
        </w:rPr>
        <w:t>07</w:t>
      </w:r>
      <w:r w:rsidRPr="008D37BC">
        <w:rPr>
          <w:rFonts w:ascii="Arial" w:eastAsia="Times New Roman" w:hAnsi="Arial" w:cs="Arial"/>
          <w:color w:val="525252"/>
          <w:lang w:eastAsia="sk-SK"/>
        </w:rPr>
        <w:t> na </w:t>
      </w:r>
      <w:r w:rsidR="00153604">
        <w:rPr>
          <w:rFonts w:ascii="Arial" w:eastAsia="Times New Roman" w:hAnsi="Arial" w:cs="Arial"/>
          <w:b/>
          <w:bCs/>
          <w:color w:val="525252"/>
          <w:lang w:eastAsia="sk-SK"/>
        </w:rPr>
        <w:t>1</w:t>
      </w:r>
      <w:r w:rsidR="00DD56BB" w:rsidRPr="00DD56BB">
        <w:rPr>
          <w:rFonts w:ascii="Arial" w:eastAsia="Times New Roman" w:hAnsi="Arial" w:cs="Arial"/>
          <w:b/>
          <w:bCs/>
          <w:color w:val="525252"/>
          <w:lang w:eastAsia="sk-SK"/>
        </w:rPr>
        <w:t>,</w:t>
      </w:r>
      <w:bookmarkEnd w:id="12"/>
      <w:r w:rsidR="00153604">
        <w:rPr>
          <w:rFonts w:ascii="Arial" w:eastAsia="Times New Roman" w:hAnsi="Arial" w:cs="Arial"/>
          <w:b/>
          <w:bCs/>
          <w:color w:val="525252"/>
          <w:lang w:eastAsia="sk-SK"/>
        </w:rPr>
        <w:t>26</w:t>
      </w:r>
      <w:r w:rsidRPr="00DD56BB">
        <w:rPr>
          <w:rFonts w:ascii="Arial" w:eastAsia="Times New Roman" w:hAnsi="Arial" w:cs="Arial"/>
          <w:b/>
          <w:bCs/>
          <w:color w:val="525252"/>
          <w:lang w:eastAsia="sk-SK"/>
        </w:rPr>
        <w:t>.</w:t>
      </w:r>
      <w:r w:rsidRPr="008D37BC">
        <w:rPr>
          <w:rFonts w:ascii="Arial" w:eastAsia="Times New Roman" w:hAnsi="Arial" w:cs="Arial"/>
          <w:color w:val="525252"/>
          <w:lang w:eastAsia="sk-SK"/>
        </w:rPr>
        <w:t> Zníženie bolo zapríčinené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vplyvom poklesu úspor </w:t>
      </w:r>
      <w:r w:rsidR="00DA60C7">
        <w:rPr>
          <w:rFonts w:ascii="Arial" w:eastAsia="Times New Roman" w:hAnsi="Arial" w:cs="Arial"/>
          <w:color w:val="525252"/>
          <w:lang w:eastAsia="sk-SK"/>
        </w:rPr>
        <w:t xml:space="preserve">niektorých </w:t>
      </w:r>
      <w:r w:rsidRPr="008D37BC">
        <w:rPr>
          <w:rFonts w:ascii="Arial" w:eastAsia="Times New Roman" w:hAnsi="Arial" w:cs="Arial"/>
          <w:color w:val="525252"/>
          <w:lang w:eastAsia="sk-SK"/>
        </w:rPr>
        <w:t>ukazovateľov uvádzaných nižšie, ako aj faktom, že ex-post CBA bola prepočítaná aktuálne platnou metodikou, ktorá obsahuje odlišné sadzby (ako napr. nižšia hodnota času</w:t>
      </w:r>
      <w:bookmarkStart w:id="13" w:name="_Hlk14696176"/>
      <w:r w:rsidRPr="008D37BC">
        <w:rPr>
          <w:rFonts w:ascii="Arial" w:eastAsia="Times New Roman" w:hAnsi="Arial" w:cs="Arial"/>
          <w:color w:val="525252"/>
          <w:lang w:eastAsia="sk-SK"/>
        </w:rPr>
        <w:t>)</w:t>
      </w:r>
      <w:r w:rsidR="001A29EA">
        <w:rPr>
          <w:rFonts w:ascii="Arial" w:eastAsia="Times New Roman" w:hAnsi="Arial" w:cs="Arial"/>
          <w:color w:val="525252"/>
          <w:lang w:eastAsia="sk-SK"/>
        </w:rPr>
        <w:t xml:space="preserve">, a taktiež uvádza povinný výpočet </w:t>
      </w:r>
      <w:proofErr w:type="spellStart"/>
      <w:r w:rsidR="001A29EA">
        <w:rPr>
          <w:rFonts w:ascii="Arial" w:eastAsia="Times New Roman" w:hAnsi="Arial" w:cs="Arial"/>
          <w:color w:val="525252"/>
          <w:lang w:eastAsia="sk-SK"/>
        </w:rPr>
        <w:t>externalít</w:t>
      </w:r>
      <w:proofErr w:type="spellEnd"/>
      <w:r w:rsidR="001A29EA">
        <w:rPr>
          <w:rFonts w:ascii="Arial" w:eastAsia="Times New Roman" w:hAnsi="Arial" w:cs="Arial"/>
          <w:color w:val="525252"/>
          <w:lang w:eastAsia="sk-SK"/>
        </w:rPr>
        <w:t xml:space="preserve"> (znečistenie životného prostredia, emisie skleníkových plynov, hluk)</w:t>
      </w:r>
      <w:r w:rsidRPr="008D37BC">
        <w:rPr>
          <w:rFonts w:ascii="Arial" w:eastAsia="Times New Roman" w:hAnsi="Arial" w:cs="Arial"/>
          <w:color w:val="525252"/>
          <w:lang w:eastAsia="sk-SK"/>
        </w:rPr>
        <w:t>.   </w:t>
      </w:r>
      <w:bookmarkEnd w:id="13"/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Napriek zníženiu koeficientu pomeru nákladov a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="00CD002B">
        <w:rPr>
          <w:rFonts w:ascii="Arial" w:eastAsia="Times New Roman" w:hAnsi="Arial" w:cs="Arial"/>
          <w:color w:val="525252"/>
          <w:lang w:eastAsia="sk-SK"/>
        </w:rPr>
        <w:t>prínos</w:t>
      </w:r>
      <w:r w:rsidRPr="008D37BC">
        <w:rPr>
          <w:rFonts w:ascii="Arial" w:eastAsia="Times New Roman" w:hAnsi="Arial" w:cs="Arial"/>
          <w:color w:val="525252"/>
          <w:lang w:eastAsia="sk-SK"/>
        </w:rPr>
        <w:t>ov môžeme konštatovať, že projekt je prínosný pre spoločnosť, keďže ukazovateľ B/C prevyšuje hodnotu 1. </w:t>
      </w:r>
      <w:bookmarkStart w:id="14" w:name="_Hlk14696258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640"/>
        <w:gridCol w:w="2653"/>
        <w:gridCol w:w="1261"/>
      </w:tblGrid>
      <w:tr w:rsidR="008D37BC" w:rsidRPr="008D37BC" w:rsidTr="005F7D9D"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času cestujúcich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1A29EA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213 761 255 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52 378 902 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61B2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-75,5</w:t>
            </w:r>
            <w:r w:rsidR="008D37BC" w:rsidRPr="00DD56BB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Default="008D37BC" w:rsidP="001A29EA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Úspora času sa znížila </w:t>
      </w:r>
      <w:r w:rsidR="00DD56BB" w:rsidRPr="00DD56BB">
        <w:rPr>
          <w:rFonts w:ascii="Arial" w:eastAsia="Times New Roman" w:hAnsi="Arial" w:cs="Arial"/>
          <w:color w:val="525252"/>
          <w:lang w:eastAsia="sk-SK"/>
        </w:rPr>
        <w:t>najmä v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="00DD56BB" w:rsidRPr="00DD56BB">
        <w:rPr>
          <w:rFonts w:ascii="Arial" w:eastAsia="Times New Roman" w:hAnsi="Arial" w:cs="Arial"/>
          <w:color w:val="525252"/>
          <w:lang w:eastAsia="sk-SK"/>
        </w:rPr>
        <w:t xml:space="preserve">dôsledku aplikácie </w:t>
      </w:r>
      <w:r w:rsidRPr="008D37BC">
        <w:rPr>
          <w:rFonts w:ascii="Arial" w:eastAsia="Times New Roman" w:hAnsi="Arial" w:cs="Arial"/>
          <w:color w:val="525252"/>
          <w:lang w:eastAsia="sk-SK"/>
        </w:rPr>
        <w:t>reálnych intenzít, ktoré sú nižšie ako predpokladal dopravný model.</w:t>
      </w: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85"/>
        <w:gridCol w:w="2660"/>
        <w:gridCol w:w="1275"/>
      </w:tblGrid>
      <w:tr w:rsidR="008D37BC" w:rsidRPr="008D37BC" w:rsidTr="00D25D58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zo spotreby PHM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9EA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22 980 763 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  </w:t>
            </w:r>
          </w:p>
          <w:p w:rsidR="008D37BC" w:rsidRPr="005F7D9D" w:rsidRDefault="00351699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5 872 074 </w:t>
            </w:r>
            <w:r w:rsidR="008D37BC" w:rsidRP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61B2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>-74,5</w:t>
            </w:r>
            <w:r w:rsidR="005F7D9D">
              <w:rPr>
                <w:rFonts w:ascii="Arial" w:eastAsia="Times New Roman" w:hAnsi="Arial" w:cs="Arial"/>
                <w:b/>
                <w:color w:val="525252"/>
                <w:lang w:eastAsia="sk-SK"/>
              </w:rPr>
              <w:t>%</w:t>
            </w:r>
          </w:p>
        </w:tc>
      </w:tr>
      <w:tr w:rsidR="008D37BC" w:rsidRPr="008D37BC" w:rsidTr="00D25D58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ostatných prevádzkových nákladov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 </w:t>
            </w:r>
          </w:p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214 186 366 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7D9D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 xml:space="preserve">po aktualizácii  </w:t>
            </w:r>
          </w:p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25 852 516 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61B2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-87,9</w:t>
            </w:r>
            <w:r w:rsidR="005F7D9D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8D37BC" w:rsidRDefault="008D37BC" w:rsidP="00351699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Prevádzkové náklady vozidiel sú zložené zo spotreby pohonných hmôt</w:t>
      </w:r>
      <w:r w:rsidR="00B62D48">
        <w:rPr>
          <w:rFonts w:ascii="Arial" w:eastAsia="Times New Roman" w:hAnsi="Arial" w:cs="Arial"/>
          <w:color w:val="525252"/>
          <w:lang w:eastAsia="sk-SK"/>
        </w:rPr>
        <w:t xml:space="preserve">, kde prichádza k úspore </w:t>
      </w:r>
      <w:r w:rsidRPr="008D37BC">
        <w:rPr>
          <w:rFonts w:ascii="Arial" w:eastAsia="Times New Roman" w:hAnsi="Arial" w:cs="Arial"/>
          <w:color w:val="525252"/>
          <w:lang w:eastAsia="sk-SK"/>
        </w:rPr>
        <w:t>a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color w:val="525252"/>
          <w:lang w:eastAsia="sk-SK"/>
        </w:rPr>
        <w:t>z</w:t>
      </w:r>
      <w:r w:rsidR="00DA60C7">
        <w:rPr>
          <w:rFonts w:ascii="Arial" w:eastAsia="Times New Roman" w:hAnsi="Arial" w:cs="Arial"/>
          <w:color w:val="525252"/>
          <w:lang w:eastAsia="sk-SK"/>
        </w:rPr>
        <w:t> 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ostatných prevádzkových nákladov vozidiel (ako napr. 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o</w:t>
      </w:r>
      <w:r w:rsidRPr="008D37BC">
        <w:rPr>
          <w:rFonts w:ascii="Arial" w:eastAsia="Times New Roman" w:hAnsi="Arial" w:cs="Arial"/>
          <w:color w:val="525252"/>
          <w:lang w:eastAsia="sk-SK"/>
        </w:rPr>
        <w:t>dpisy</w:t>
      </w:r>
      <w:r w:rsidR="00B62D48">
        <w:rPr>
          <w:rFonts w:ascii="Arial" w:eastAsia="Times New Roman" w:hAnsi="Arial" w:cs="Arial"/>
          <w:color w:val="525252"/>
          <w:lang w:eastAsia="sk-SK"/>
        </w:rPr>
        <w:t xml:space="preserve">), </w:t>
      </w:r>
      <w:r w:rsidR="00351699">
        <w:rPr>
          <w:rFonts w:ascii="Arial" w:eastAsia="Times New Roman" w:hAnsi="Arial" w:cs="Arial"/>
          <w:color w:val="525252"/>
          <w:lang w:eastAsia="sk-SK"/>
        </w:rPr>
        <w:t xml:space="preserve">kde prichádza takisto k úspore.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95"/>
        <w:gridCol w:w="2673"/>
        <w:gridCol w:w="1261"/>
      </w:tblGrid>
      <w:tr w:rsidR="008D37BC" w:rsidRPr="008D37BC" w:rsidTr="00D25D58"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lastRenderedPageBreak/>
              <w:t>Úspora z nehodovosti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5F7D9D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pôvodná</w:t>
            </w:r>
          </w:p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15 765 207 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36 248 688 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DD61B2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129,9</w:t>
            </w:r>
            <w:r w:rsidR="008D37BC" w:rsidRPr="00DA60C7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%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Nehodovosť bola vypočítaná na základe počtu nehôd za roky 20</w:t>
      </w:r>
      <w:r w:rsidR="00B62D48">
        <w:rPr>
          <w:rFonts w:ascii="Arial" w:eastAsia="Times New Roman" w:hAnsi="Arial" w:cs="Arial"/>
          <w:color w:val="525252"/>
          <w:lang w:eastAsia="sk-SK"/>
        </w:rPr>
        <w:t>0</w:t>
      </w:r>
      <w:r w:rsidR="00351699">
        <w:rPr>
          <w:rFonts w:ascii="Arial" w:eastAsia="Times New Roman" w:hAnsi="Arial" w:cs="Arial"/>
          <w:color w:val="525252"/>
          <w:lang w:eastAsia="sk-SK"/>
        </w:rPr>
        <w:t>7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8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(cesta I. triedy) resp.</w:t>
      </w:r>
      <w:r w:rsidR="00DA60C7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8D37BC">
        <w:rPr>
          <w:rFonts w:ascii="Arial" w:eastAsia="Times New Roman" w:hAnsi="Arial" w:cs="Arial"/>
          <w:color w:val="525252"/>
          <w:lang w:eastAsia="sk-SK"/>
        </w:rPr>
        <w:t>20</w:t>
      </w:r>
      <w:r w:rsidR="00351699">
        <w:rPr>
          <w:rFonts w:ascii="Arial" w:eastAsia="Times New Roman" w:hAnsi="Arial" w:cs="Arial"/>
          <w:color w:val="525252"/>
          <w:lang w:eastAsia="sk-SK"/>
        </w:rPr>
        <w:t>08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– 201</w:t>
      </w:r>
      <w:r w:rsidR="00DA60C7" w:rsidRPr="00DA60C7">
        <w:rPr>
          <w:rFonts w:ascii="Arial" w:eastAsia="Times New Roman" w:hAnsi="Arial" w:cs="Arial"/>
          <w:color w:val="525252"/>
          <w:lang w:eastAsia="sk-SK"/>
        </w:rPr>
        <w:t>8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 (</w:t>
      </w:r>
      <w:r w:rsidR="00351699">
        <w:rPr>
          <w:rFonts w:ascii="Arial" w:eastAsia="Times New Roman" w:hAnsi="Arial" w:cs="Arial"/>
          <w:color w:val="525252"/>
          <w:lang w:eastAsia="sk-SK"/>
        </w:rPr>
        <w:t>diaľnica D3</w:t>
      </w:r>
      <w:r w:rsidRPr="008D37BC">
        <w:rPr>
          <w:rFonts w:ascii="Arial" w:eastAsia="Times New Roman" w:hAnsi="Arial" w:cs="Arial"/>
          <w:color w:val="525252"/>
          <w:lang w:eastAsia="sk-SK"/>
        </w:rPr>
        <w:t>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602"/>
        <w:gridCol w:w="3181"/>
        <w:gridCol w:w="750"/>
      </w:tblGrid>
      <w:tr w:rsidR="008D37BC" w:rsidRPr="008D37BC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emisiách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DD61B2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351699" w:rsidRDefault="00351699" w:rsidP="008D37BC">
            <w:pPr>
              <w:jc w:val="center"/>
              <w:rPr>
                <w:rFonts w:ascii="Arial" w:eastAsia="Times New Roman" w:hAnsi="Arial" w:cs="Arial"/>
                <w:b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525252"/>
                <w:lang w:eastAsia="sk-SK"/>
              </w:rPr>
              <w:t xml:space="preserve"> 24 670 759 </w:t>
            </w:r>
            <w:r w:rsidRPr="00351699">
              <w:rPr>
                <w:rFonts w:ascii="Arial" w:eastAsia="Times New Roman" w:hAnsi="Arial" w:cs="Arial"/>
                <w:b/>
                <w:color w:val="525252"/>
                <w:lang w:eastAsia="sk-SK"/>
              </w:rPr>
              <w:t>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Úspora na emisiách nebola v pôvodnej CBA vyčíslená. Na základe inkrementálnej spotreby pohonných látok (tieto tvoria základný podklad pre výpočet tvorby emisií) počas celého referenčného obdobia </w:t>
      </w:r>
      <w:r w:rsidR="006D7BD2">
        <w:rPr>
          <w:rFonts w:ascii="Arial" w:eastAsia="Times New Roman" w:hAnsi="Arial" w:cs="Arial"/>
          <w:color w:val="525252"/>
          <w:lang w:eastAsia="sk-SK"/>
        </w:rPr>
        <w:t>bola vypočítaná úspora</w:t>
      </w:r>
      <w:r w:rsidRPr="008D37BC">
        <w:rPr>
          <w:rFonts w:ascii="Arial" w:eastAsia="Times New Roman" w:hAnsi="Arial" w:cs="Arial"/>
          <w:color w:val="525252"/>
          <w:lang w:eastAsia="sk-SK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603"/>
        <w:gridCol w:w="3183"/>
        <w:gridCol w:w="751"/>
      </w:tblGrid>
      <w:tr w:rsidR="008D37BC" w:rsidRPr="008D37BC" w:rsidTr="008D37BC"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Úspora na hluku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DD61B2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pôvodné</w:t>
            </w:r>
          </w:p>
          <w:p w:rsidR="008D37BC" w:rsidRPr="008D37BC" w:rsidRDefault="005F7D9D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 EUR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8D37BC">
              <w:rPr>
                <w:rFonts w:ascii="Arial" w:eastAsia="Times New Roman" w:hAnsi="Arial" w:cs="Arial"/>
                <w:color w:val="525252"/>
                <w:lang w:eastAsia="sk-SK"/>
              </w:rPr>
              <w:t>po aktualizácii</w:t>
            </w: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 </w:t>
            </w:r>
          </w:p>
          <w:p w:rsidR="008D37BC" w:rsidRPr="008D37BC" w:rsidRDefault="00351699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 xml:space="preserve">22 263 415 </w:t>
            </w:r>
            <w:r w:rsidR="008D37BC"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EUR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37BC" w:rsidRPr="008D37BC" w:rsidRDefault="008D37BC" w:rsidP="008D37BC">
            <w:pPr>
              <w:jc w:val="center"/>
              <w:rPr>
                <w:rFonts w:ascii="Arial" w:eastAsia="Times New Roman" w:hAnsi="Arial" w:cs="Arial"/>
                <w:color w:val="525252"/>
                <w:lang w:eastAsia="sk-SK"/>
              </w:rPr>
            </w:pPr>
            <w:r w:rsidRPr="005B113A">
              <w:rPr>
                <w:rFonts w:ascii="Arial" w:eastAsia="Times New Roman" w:hAnsi="Arial" w:cs="Arial"/>
                <w:b/>
                <w:bCs/>
                <w:color w:val="525252"/>
                <w:lang w:eastAsia="sk-SK"/>
              </w:rPr>
              <w:t>-</w:t>
            </w:r>
          </w:p>
        </w:tc>
      </w:tr>
    </w:tbl>
    <w:p w:rsidR="008D37BC" w:rsidRPr="008D37BC" w:rsidRDefault="008D37BC" w:rsidP="005F7D9D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Úspora z hluku nebola v pôvodnej CBA vyčíslená. Vo všeobecnosti platí, že výstavbou diaľničných úsekov je obyvateľstvo menej vystavené hluku z osobnej a nákladnej dopravy, čo sa potvrdilo aj pri analyzovanom úseku.</w:t>
      </w:r>
    </w:p>
    <w:bookmarkEnd w:id="14"/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5B113A">
        <w:rPr>
          <w:rFonts w:ascii="Arial" w:eastAsia="Times New Roman" w:hAnsi="Arial" w:cs="Arial"/>
          <w:b/>
          <w:bCs/>
          <w:color w:val="525252"/>
          <w:lang w:eastAsia="sk-SK"/>
        </w:rPr>
        <w:t> 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5B113A">
        <w:rPr>
          <w:rFonts w:ascii="Arial" w:eastAsia="Times New Roman" w:hAnsi="Arial" w:cs="Arial"/>
          <w:b/>
          <w:bCs/>
          <w:color w:val="525252"/>
          <w:lang w:eastAsia="sk-SK"/>
        </w:rPr>
        <w:t>Záverečné hodnotenie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Spätné vyhodnotenie CBA preukázalo opodstatnenosť financovania projektu z fondov EÚ. Finančná analýza potvrdila predpoklad, že projekt nedokáže v plnom rozsahu pokryť výdavky zo svojich príjmov a preto je opodstatnený nenávratný finančný príspevok z </w:t>
      </w:r>
      <w:r w:rsidR="005B113A" w:rsidRPr="005B113A">
        <w:rPr>
          <w:rFonts w:ascii="Arial" w:eastAsia="Times New Roman" w:hAnsi="Arial" w:cs="Arial"/>
          <w:color w:val="525252"/>
          <w:lang w:eastAsia="sk-SK"/>
        </w:rPr>
        <w:t>ERDF</w:t>
      </w:r>
      <w:r w:rsidRPr="008D37BC">
        <w:rPr>
          <w:rFonts w:ascii="Arial" w:eastAsia="Times New Roman" w:hAnsi="Arial" w:cs="Arial"/>
          <w:color w:val="525252"/>
          <w:lang w:eastAsia="sk-SK"/>
        </w:rPr>
        <w:t>. Ekonomická analýza potvrdila efektívnosť vynakladania verejných zdrojov a odôvodnenosť projektu, nakoľko prínosy projektu pre spoločnosť ako celok prevažujú nad jeho nákladmi.</w:t>
      </w:r>
    </w:p>
    <w:p w:rsidR="00794BFF" w:rsidRDefault="00794BFF"/>
    <w:sectPr w:rsidR="00794BFF" w:rsidSect="000C0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C"/>
    <w:rsid w:val="000026EF"/>
    <w:rsid w:val="00073400"/>
    <w:rsid w:val="000C0068"/>
    <w:rsid w:val="000F0153"/>
    <w:rsid w:val="001302DD"/>
    <w:rsid w:val="00153604"/>
    <w:rsid w:val="001A29EA"/>
    <w:rsid w:val="002A1EC0"/>
    <w:rsid w:val="00351699"/>
    <w:rsid w:val="00355C04"/>
    <w:rsid w:val="003B640C"/>
    <w:rsid w:val="004F6AAF"/>
    <w:rsid w:val="0053139F"/>
    <w:rsid w:val="00556B7F"/>
    <w:rsid w:val="005B113A"/>
    <w:rsid w:val="005F7D9D"/>
    <w:rsid w:val="006D7BD2"/>
    <w:rsid w:val="00713D63"/>
    <w:rsid w:val="00752019"/>
    <w:rsid w:val="00794BFF"/>
    <w:rsid w:val="00824D3C"/>
    <w:rsid w:val="00895386"/>
    <w:rsid w:val="008D37BC"/>
    <w:rsid w:val="00905DEE"/>
    <w:rsid w:val="00962B61"/>
    <w:rsid w:val="00A351D1"/>
    <w:rsid w:val="00B02121"/>
    <w:rsid w:val="00B62D48"/>
    <w:rsid w:val="00B80E2B"/>
    <w:rsid w:val="00B90F54"/>
    <w:rsid w:val="00CD002B"/>
    <w:rsid w:val="00CF2E79"/>
    <w:rsid w:val="00D25D58"/>
    <w:rsid w:val="00D81761"/>
    <w:rsid w:val="00DA60C7"/>
    <w:rsid w:val="00DB3FDD"/>
    <w:rsid w:val="00DD56BB"/>
    <w:rsid w:val="00DD61B2"/>
    <w:rsid w:val="00E7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8BF06-C577-644B-A7F1-7425B69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D37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D37B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D3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8D37BC"/>
    <w:rPr>
      <w:b/>
      <w:bCs/>
    </w:rPr>
  </w:style>
  <w:style w:type="character" w:styleId="Zvraznenie">
    <w:name w:val="Emphasis"/>
    <w:basedOn w:val="Predvolenpsmoodseku"/>
    <w:uiPriority w:val="20"/>
    <w:qFormat/>
    <w:rsid w:val="008D3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2019-06-03T09:08:00Z</dcterms:created>
  <dcterms:modified xsi:type="dcterms:W3CDTF">2019-07-24T13:14:00Z</dcterms:modified>
</cp:coreProperties>
</file>